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Statuts de [Société] SA</w:t>
      </w:r>
    </w:p>
    <w:p>
      <w:pPr>
        <w:pStyle w:val="Note"/>
      </w:pPr>
      <w:r>
        <w:t xml:space="preserve">[Remarque: Ce modèle contient des statuts sobres pour une société anonyme suisse à cercle d’actionnaires restreint. Complétez ou supprimez le texte entre crochets et supprimez toutes les remarques comme celle-ci avant le rendez-vous chez le notaire. Les statuts prennent effet par l’acte authentique, non par une signature privée.]</w:t>
      </w:r>
    </w:p>
    <w:p>
      <w:pPr>
        <w:pStyle w:val="Heading1"/>
      </w:pPr>
      <w:r>
        <w:t xml:space="preserve">I. Raison sociale, siège, but et durée</w:t>
      </w:r>
    </w:p>
    <w:p>
      <w:pPr>
        <w:pStyle w:val="Heading1"/>
      </w:pPr>
      <w:r>
        <w:t xml:space="preserve">Art. 1 Raison sociale et siège</w:t>
      </w:r>
    </w:p>
    <w:p>
      <w:pPr>
        <w:pStyle w:val="Normal"/>
      </w:pPr>
      <w:r>
        <w:t xml:space="preserve">Sous la raison sociale [Société] SA existe une société anonyme régie par les art. 620 ss CO, avec siège à [commune, canton].</w:t>
      </w:r>
    </w:p>
    <w:p>
      <w:pPr>
        <w:pStyle w:val="Heading1"/>
      </w:pPr>
      <w:r>
        <w:t xml:space="preserve">Art. 2 But</w:t>
      </w:r>
    </w:p>
    <w:p>
      <w:pPr>
        <w:pStyle w:val="Normal"/>
      </w:pPr>
      <w:r>
        <w:t xml:space="preserve">2.1 La société a pour but [décrire le champ d’activité, p. ex. «le développement, la distribution et l’exploitation de logiciels ainsi que la fourniture de services connexes»].</w:t>
      </w:r>
    </w:p>
    <w:p>
      <w:pPr>
        <w:pStyle w:val="Normal"/>
      </w:pPr>
      <w:r>
        <w:t xml:space="preserve">2.2 La société peut créer des succursales et des filiales, prendre des participations dans d’autres entreprises, acquérir, détenir et aliéner des immeubles et des droits de propriété intellectuelle, et accomplir toutes les opérations propres à favoriser son but.</w:t>
      </w:r>
    </w:p>
    <w:p>
      <w:pPr>
        <w:pStyle w:val="Heading1"/>
      </w:pPr>
      <w:r>
        <w:t xml:space="preserve">Art. 3 Durée</w:t>
      </w:r>
    </w:p>
    <w:p>
      <w:pPr>
        <w:pStyle w:val="Normal"/>
      </w:pPr>
      <w:r>
        <w:t xml:space="preserve">La durée de la société est illimitée.</w:t>
      </w:r>
    </w:p>
    <w:p>
      <w:pPr>
        <w:pStyle w:val="Heading1"/>
      </w:pPr>
      <w:r>
        <w:t xml:space="preserve">II. Capital-actions et actions</w:t>
      </w:r>
    </w:p>
    <w:p>
      <w:pPr>
        <w:pStyle w:val="Heading1"/>
      </w:pPr>
      <w:r>
        <w:t xml:space="preserve">Art. 4 Capital-actions</w:t>
      </w:r>
    </w:p>
    <w:p>
      <w:pPr>
        <w:pStyle w:val="Normal"/>
      </w:pPr>
      <w:r>
        <w:t xml:space="preserve">Le capital-actions s’élève à CHF [montant] et est divisé en [nombre] actions nominatives d’une valeur nominale de CHF [montant] chacune. Le capital-actions est entièrement libéré.</w:t>
      </w:r>
    </w:p>
    <w:p>
      <w:pPr>
        <w:pStyle w:val="Note"/>
      </w:pPr>
      <w:r>
        <w:t xml:space="preserve">[Remarque: La loi fixe un capital minimal (art. 621 CO) et un apport minimal lors de la fondation (art. 632 CO). Vérifiez le montant, le nombre d’actions et la libération avec votre notaire à la lumière de ces dispositions avant l’acte.]</w:t>
      </w:r>
    </w:p>
    <w:p>
      <w:pPr>
        <w:pStyle w:val="Heading1"/>
      </w:pPr>
      <w:r>
        <w:t xml:space="preserve">Art. 5 Forme des actions et registre des actions</w:t>
      </w:r>
    </w:p>
    <w:p>
      <w:pPr>
        <w:pStyle w:val="Normal"/>
      </w:pPr>
      <w:r>
        <w:t xml:space="preserve">5.1 Les actions sont émises sous forme de droits-valeurs. L’actionnaire n’a pas droit à l’impression et à la remise de titres.</w:t>
      </w:r>
    </w:p>
    <w:p>
      <w:pPr>
        <w:pStyle w:val="Normal"/>
      </w:pPr>
      <w:r>
        <w:t xml:space="preserve">5.2 La société tient un registre des actions, où sont inscrits les propriétaires et les usufruitiers des actions avec leur nom et leur adresse. À l’égard de la société, est considéré comme actionnaire ou usufruitier uniquement celui qui est inscrit au registre des actions.</w:t>
      </w:r>
    </w:p>
    <w:p>
      <w:pPr>
        <w:pStyle w:val="Heading1"/>
      </w:pPr>
      <w:r>
        <w:t xml:space="preserve">Art. 6 Restriction du transfert (agrément)</w:t>
      </w:r>
    </w:p>
    <w:p>
      <w:pPr>
        <w:pStyle w:val="Note"/>
      </w:pPr>
      <w:r>
        <w:t xml:space="preserve">[Remarque: Cet article est optionnel. Sans lui, les actions nominatives sont librement transmissibles. Pour une société à cercle d’actionnaires restreint, c’est en général l’article optionnel le plus important; ne le supprimez qu’en connaissance de cause.]</w:t>
      </w:r>
    </w:p>
    <w:p>
      <w:pPr>
        <w:pStyle w:val="Normal"/>
      </w:pPr>
      <w:r>
        <w:t xml:space="preserve">6.1 Le transfert d’actions nominatives, par cession ou de toute autre manière, requiert l’approbation du conseil d’administration.</w:t>
      </w:r>
    </w:p>
    <w:p>
      <w:pPr>
        <w:pStyle w:val="Normal"/>
      </w:pPr>
      <w:r>
        <w:t xml:space="preserve">6.2 Le conseil d’administration peut refuser son approbation pour de justes motifs. Constitue notamment un juste motif [motif lié au but social ou à l’indépendance économique de la société, p. ex. «le maintien d’un cercle d’actionnaires actifs dans la société»]. Le conseil d’administration peut aussi refuser son approbation en offrant à l’aliénateur de reprendre les actions pour le compte de la société, d’autres actionnaires ou de tiers, à leur valeur réelle au moment de la requête.</w:t>
      </w:r>
    </w:p>
    <w:p>
      <w:pPr>
        <w:pStyle w:val="Heading1"/>
      </w:pPr>
      <w:r>
        <w:t xml:space="preserve">III. Assemblée générale</w:t>
      </w:r>
    </w:p>
    <w:p>
      <w:pPr>
        <w:pStyle w:val="Heading1"/>
      </w:pPr>
      <w:r>
        <w:t xml:space="preserve">Art. 7 Attributions</w:t>
      </w:r>
    </w:p>
    <w:p>
      <w:pPr>
        <w:pStyle w:val="Normal"/>
      </w:pPr>
      <w:r>
        <w:t xml:space="preserve">L’assemblée générale est l’organe suprême de la société. Elle exerce les attributions intransmissibles que lui confère l’art. 698 CO, en particulier l’adoption et la modification des statuts, l’élection du conseil d’administration et de l’organe de révision, l’approbation des comptes annuels, la décision sur l’emploi du bénéfice résultant du bilan et la décharge des membres du conseil d’administration.</w:t>
      </w:r>
    </w:p>
    <w:p>
      <w:pPr>
        <w:pStyle w:val="Heading1"/>
      </w:pPr>
      <w:r>
        <w:t xml:space="preserve">Art. 8 Convocation</w:t>
      </w:r>
    </w:p>
    <w:p>
      <w:pPr>
        <w:pStyle w:val="Normal"/>
      </w:pPr>
      <w:r>
        <w:t xml:space="preserve">8.1 L’assemblée générale est convoquée par le conseil d’administration, au besoin par l’organe de révision, au plus tard [20] jours avant le jour de l’assemblée. La convocation est adressée par écrit ou par voie électronique aux adresses inscrites au registre des actions et mentionne les objets portés à l’ordre du jour et les propositions.</w:t>
      </w:r>
    </w:p>
    <w:p>
      <w:pPr>
        <w:pStyle w:val="Normal"/>
      </w:pPr>
      <w:r>
        <w:t xml:space="preserve">8.2 Les propriétaires ou représentants de la totalité des actions peuvent, s’il n’y a pas d’opposition, tenir une assemblée générale sans observer les règles de convocation (assemblée universelle).</w:t>
      </w:r>
    </w:p>
    <w:p>
      <w:pPr>
        <w:pStyle w:val="Normal"/>
      </w:pPr>
      <w:r>
        <w:t xml:space="preserve">8.3 Les décisions de l’assemblée générale peuvent aussi être prises par écrit ou par voie électronique, à moins qu’un actionnaire ne demande une délibération orale.</w:t>
      </w:r>
    </w:p>
    <w:p>
      <w:pPr>
        <w:pStyle w:val="Heading1"/>
      </w:pPr>
      <w:r>
        <w:t xml:space="preserve">Art. 9 Présidence et procès-verbal</w:t>
      </w:r>
    </w:p>
    <w:p>
      <w:pPr>
        <w:pStyle w:val="Normal"/>
      </w:pPr>
      <w:r>
        <w:t xml:space="preserve">Le président ou la présidente du conseil d’administration préside l’assemblée générale; en cas d’empêchement, la présidence revient à un autre membre du conseil d’administration ou à un président du jour élu par l’assemblée générale. La personne qui préside désigne la personne chargée du procès-verbal. Les délibérations font l’objet d’un procès-verbal.</w:t>
      </w:r>
    </w:p>
    <w:p>
      <w:pPr>
        <w:pStyle w:val="Heading1"/>
      </w:pPr>
      <w:r>
        <w:t xml:space="preserve">Art. 10 Droit de vote et décisions</w:t>
      </w:r>
    </w:p>
    <w:p>
      <w:pPr>
        <w:pStyle w:val="Normal"/>
      </w:pPr>
      <w:r>
        <w:t xml:space="preserve">10.1 Chaque action donne droit à une voix. Tout actionnaire peut se faire représenter à l’assemblée générale par une personne munie d’une procuration écrite.</w:t>
      </w:r>
    </w:p>
    <w:p>
      <w:pPr>
        <w:pStyle w:val="Normal"/>
      </w:pPr>
      <w:r>
        <w:t xml:space="preserve">10.2 L’assemblée générale prend ses décisions et procède aux élections à la majorité des voix exprimées, à moins que la loi ou les présents statuts n’en disposent autrement. Les décisions énumérées à l’art. 704 CO requièrent la majorité qualifiée qui y est prévue.</w:t>
      </w:r>
    </w:p>
    <w:p>
      <w:pPr>
        <w:pStyle w:val="Heading1"/>
      </w:pPr>
      <w:r>
        <w:t xml:space="preserve">IV. Conseil d’administration</w:t>
      </w:r>
    </w:p>
    <w:p>
      <w:pPr>
        <w:pStyle w:val="Heading1"/>
      </w:pPr>
      <w:r>
        <w:t xml:space="preserve">Art. 11 Élection et durée des fonctions</w:t>
      </w:r>
    </w:p>
    <w:p>
      <w:pPr>
        <w:pStyle w:val="Normal"/>
      </w:pPr>
      <w:r>
        <w:t xml:space="preserve">Le conseil d’administration se compose d’un ou de plusieurs membres. Les membres sont élus par l’assemblée générale pour une durée de fonctions de [un] an; ils sont rééligibles.</w:t>
      </w:r>
    </w:p>
    <w:p>
      <w:pPr>
        <w:pStyle w:val="Heading1"/>
      </w:pPr>
      <w:r>
        <w:t xml:space="preserve">Art. 12 Organisation</w:t>
      </w:r>
    </w:p>
    <w:p>
      <w:pPr>
        <w:pStyle w:val="Normal"/>
      </w:pPr>
      <w:r>
        <w:t xml:space="preserve">12.1 Le conseil d’administration se constitue lui-même. Il désigne son président ou sa présidente ainsi que la personne chargée du procès-verbal, qui ne doit pas nécessairement en être membre.</w:t>
      </w:r>
    </w:p>
    <w:p>
      <w:pPr>
        <w:pStyle w:val="Normal"/>
      </w:pPr>
      <w:r>
        <w:t xml:space="preserve">12.2 Il peut régler son organisation et la gestion dans un règlement d’organisation.</w:t>
      </w:r>
    </w:p>
    <w:p>
      <w:pPr>
        <w:pStyle w:val="Normal"/>
      </w:pPr>
      <w:r>
        <w:t xml:space="preserve">12.3 Les décisions du conseil d’administration peuvent aussi être prises par écrit ou par voie électronique, à moins qu’un membre ne demande une délibération orale.</w:t>
      </w:r>
    </w:p>
    <w:p>
      <w:pPr>
        <w:pStyle w:val="Heading1"/>
      </w:pPr>
      <w:r>
        <w:t xml:space="preserve">Art. 13 Attributions</w:t>
      </w:r>
    </w:p>
    <w:p>
      <w:pPr>
        <w:pStyle w:val="Normal"/>
      </w:pPr>
      <w:r>
        <w:t xml:space="preserve">Le conseil d’administration exerce la haute direction de la société et les attributions intransmissibles et inaliénables que lui confère l’art. 716a CO. Pour le surplus, il peut déléguer tout ou partie de la gestion à certains de ses membres ou à des tiers conformément à un règlement d’organisation.</w:t>
      </w:r>
    </w:p>
    <w:p>
      <w:pPr>
        <w:pStyle w:val="Heading1"/>
      </w:pPr>
      <w:r>
        <w:t xml:space="preserve">Art. 14 Représentation</w:t>
      </w:r>
    </w:p>
    <w:p>
      <w:pPr>
        <w:pStyle w:val="Normal"/>
      </w:pPr>
      <w:r>
        <w:t xml:space="preserve">Le conseil d’administration désigne les personnes autorisées à représenter la société et détermine le mode de signature. [Standard: Les membres du conseil d’administration signent collectivement à deux. / Variante: Les membres du conseil d’administration disposent de la signature individuelle.]</w:t>
      </w:r>
    </w:p>
    <w:p>
      <w:pPr>
        <w:pStyle w:val="Heading1"/>
      </w:pPr>
      <w:r>
        <w:t xml:space="preserve">V. Organe de révision</w:t>
      </w:r>
    </w:p>
    <w:p>
      <w:pPr>
        <w:pStyle w:val="Heading1"/>
      </w:pPr>
      <w:r>
        <w:t xml:space="preserve">Art. 15 Organe de révision</w:t>
      </w:r>
    </w:p>
    <w:p>
      <w:pPr>
        <w:pStyle w:val="Normal"/>
      </w:pPr>
      <w:r>
        <w:t xml:space="preserve">15.1 L’assemblée générale élit un organe de révision pour une durée de fonctions de [un] an.</w:t>
      </w:r>
    </w:p>
    <w:p>
      <w:pPr>
        <w:pStyle w:val="Normal"/>
      </w:pPr>
      <w:r>
        <w:t xml:space="preserve">15.2 L’organe de révision contrôle les comptes annuels conformément aux dispositions légales et fait rapport à l’assemblée générale.</w:t>
      </w:r>
    </w:p>
    <w:p>
      <w:pPr>
        <w:pStyle w:val="Note"/>
      </w:pPr>
      <w:r>
        <w:t xml:space="preserve">[Remarque: Les sociétés qui ne font pas appel au public et restent en dessous des seuils de taille de l’art. 727 CO sont soumises au contrôle restreint; aux conditions de l’art. 727a CO (consentement de tous les actionnaires et effectif réduit), elles peuvent renoncer entièrement au contrôle restreint (opting-out). Si la société y renonce, annoncez-le au registre du commerce et adaptez ou supprimez cet article.]</w:t>
      </w:r>
    </w:p>
    <w:p>
      <w:pPr>
        <w:pStyle w:val="Heading1"/>
      </w:pPr>
      <w:r>
        <w:t xml:space="preserve">VI. Exercice annuel et emploi du bénéfice</w:t>
      </w:r>
    </w:p>
    <w:p>
      <w:pPr>
        <w:pStyle w:val="Heading1"/>
      </w:pPr>
      <w:r>
        <w:t xml:space="preserve">Art. 16 Exercice annuel</w:t>
      </w:r>
    </w:p>
    <w:p>
      <w:pPr>
        <w:pStyle w:val="Normal"/>
      </w:pPr>
      <w:r>
        <w:t xml:space="preserve">L’exercice annuel est fixé par le conseil d’administration. [Standard: Il se termine le 31 décembre de chaque année.]</w:t>
      </w:r>
    </w:p>
    <w:p>
      <w:pPr>
        <w:pStyle w:val="Heading1"/>
      </w:pPr>
      <w:r>
        <w:t xml:space="preserve">Art. 17 Emploi du bénéfice</w:t>
      </w:r>
    </w:p>
    <w:p>
      <w:pPr>
        <w:pStyle w:val="Normal"/>
      </w:pPr>
      <w:r>
        <w:t xml:space="preserve">L’assemblée générale décide de l’emploi du bénéfice résultant du bilan dans les limites des dispositions légales sur les réserves.</w:t>
      </w:r>
    </w:p>
    <w:p>
      <w:pPr>
        <w:pStyle w:val="Heading1"/>
      </w:pPr>
      <w:r>
        <w:t xml:space="preserve">VII. Communications, organe de publication et dissolution</w:t>
      </w:r>
    </w:p>
    <w:p>
      <w:pPr>
        <w:pStyle w:val="Heading1"/>
      </w:pPr>
      <w:r>
        <w:t xml:space="preserve">Art. 18 Communications et organe de publication</w:t>
      </w:r>
    </w:p>
    <w:p>
      <w:pPr>
        <w:pStyle w:val="Normal"/>
      </w:pPr>
      <w:r>
        <w:t xml:space="preserve">18.1 L’organe de publication de la société est la Feuille officielle suisse du commerce (FOSC).</w:t>
      </w:r>
    </w:p>
    <w:p>
      <w:pPr>
        <w:pStyle w:val="Normal"/>
      </w:pPr>
      <w:r>
        <w:t xml:space="preserve">18.2 Les communications de la société aux actionnaires sont faites par écrit ou par voie électronique aux adresses inscrites au registre des actions.</w:t>
      </w:r>
    </w:p>
    <w:p>
      <w:pPr>
        <w:pStyle w:val="Heading1"/>
      </w:pPr>
      <w:r>
        <w:t xml:space="preserve">Art. 19 Dissolution et liquidation</w:t>
      </w:r>
    </w:p>
    <w:p>
      <w:pPr>
        <w:pStyle w:val="Normal"/>
      </w:pPr>
      <w:r>
        <w:t xml:space="preserve">L’assemblée générale peut décider la dissolution de la société conformément à la loi et aux présents statuts. La liquidation est conduite par le conseil d’administration selon les dispositions légales, à moins que l’assemblée générale ne la confie à d’autres personnes.</w:t>
      </w:r>
    </w:p>
    <w:p>
      <w:pPr>
        <w:pStyle w:val="Note"/>
      </w:pPr>
      <w:r>
        <w:t xml:space="preserve">[Remarque: Les statuts prennent effet par l’acte authentique de fondation, et toute modification ultérieure requiert à nouveau un acte authentique. Apportez ce projet chez votre notaire; la réquisition au registre du commerce suit l’acte notarié.]</w:t>
      </w:r>
    </w:p>
    <w:p>
      <w:pPr>
        <w:pStyle w:val="Normal"/>
      </w:pPr>
      <w:r>
        <w:t xml:space="preserve">Lieu, date: […]</w:t>
      </w:r>
    </w:p>
    <w:p>
      <w:pPr>
        <w:pStyle w:val="Normal"/>
      </w:pPr>
      <w:r>
        <w:t xml:space="preserve"/>
      </w:r>
    </w:p>
    <w:p>
      <w:pPr>
        <w:pStyle w:val="Normal"/>
      </w:pPr>
      <w:r>
        <w:t xml:space="preserve">[Fondateur / présidence de l’assemblée générale]: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