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Contrat de prêt convertible</w:t>
      </w:r>
    </w:p>
    <w:p>
      <w:pPr>
        <w:pStyle w:val="Note"/>
      </w:pPr>
      <w:r>
        <w:t xml:space="preserve">[Remarque: Ce modèle est un prêt convertible accordé par un investisseur à une société anonyme suisse. Complétez ou supprimez le texte entre crochets et supprimez toutes les remarques comme celle-ci avant la signature. Coordonnez les clauses de conversion avec les statuts de la société et ses principaux actionnaires avant de signer.]</w:t>
      </w:r>
    </w:p>
    <w:p>
      <w:pPr>
        <w:pStyle w:val="Heading1"/>
      </w:pPr>
      <w:r>
        <w:t xml:space="preserve">Parties</w:t>
      </w:r>
    </w:p>
    <w:p>
      <w:pPr>
        <w:pStyle w:val="Normal"/>
      </w:pPr>
      <w:r>
        <w:t xml:space="preserve">[Société] SA, [adresse] (la «société»)</w:t>
      </w:r>
    </w:p>
    <w:p>
      <w:pPr>
        <w:pStyle w:val="Normal"/>
      </w:pPr>
      <w:r>
        <w:t xml:space="preserve">et</w:t>
      </w:r>
    </w:p>
    <w:p>
      <w:pPr>
        <w:pStyle w:val="Normal"/>
      </w:pPr>
      <w:r>
        <w:t xml:space="preserve">[Prêteur], [adresse] (le «prêteur»)</w:t>
      </w:r>
    </w:p>
    <w:p>
      <w:pPr>
        <w:pStyle w:val="Heading1"/>
      </w:pPr>
      <w:r>
        <w:t xml:space="preserve">1. Prêt et versement</w:t>
      </w:r>
    </w:p>
    <w:p>
      <w:pPr>
        <w:pStyle w:val="Normal"/>
      </w:pPr>
      <w:r>
        <w:t xml:space="preserve">1.1 Le prêteur accorde à la société un prêt de CHF [montant] (le «prêt»). La société utilise le prêt pour [but, p. ex. «le fonds de roulement et le développement de l’entreprise»].</w:t>
      </w:r>
    </w:p>
    <w:p>
      <w:pPr>
        <w:pStyle w:val="Normal"/>
      </w:pPr>
      <w:r>
        <w:t xml:space="preserve">1.2 Le prêteur verse le prêt sur le compte [IBAN] de la société dans les [nombre] jours suivant la signature du présent contrat.</w:t>
      </w:r>
    </w:p>
    <w:p>
      <w:pPr>
        <w:pStyle w:val="Normal"/>
      </w:pPr>
      <w:r>
        <w:t xml:space="preserve">1.3 S’il n’est pas converti auparavant conformément au présent contrat, le prêt devient exigible le [date] (la «date d’échéance»).</w:t>
      </w:r>
    </w:p>
    <w:p>
      <w:pPr>
        <w:pStyle w:val="Heading1"/>
      </w:pPr>
      <w:r>
        <w:t xml:space="preserve">2. Intérêts</w:t>
      </w:r>
    </w:p>
    <w:p>
      <w:pPr>
        <w:pStyle w:val="Normal"/>
      </w:pPr>
      <w:r>
        <w:t xml:space="preserve">2.1 Le prêt porte intérêt à [taux]% par an dès le versement. L’intérêt n’est pas payé périodiquement; il court et s’ajoute au montant converti ou remboursé.</w:t>
      </w:r>
    </w:p>
    <w:p>
      <w:pPr>
        <w:pStyle w:val="Normal"/>
      </w:pPr>
      <w:r>
        <w:t xml:space="preserve">[2.2 Choisissez une variante et supprimez l’autre: L’intérêt couru est converti en actions avec le capital. / L’intérêt couru est payé en espèces lors de la conversion ou du remboursement; seul le capital est converti.]</w:t>
      </w:r>
    </w:p>
    <w:p>
      <w:pPr>
        <w:pStyle w:val="Note"/>
      </w:pPr>
      <w:r>
        <w:t xml:space="preserve">[Remarque: Indiquez expressément si l’intérêt est converti ou payé. Le choix modifie le nombre d’actions de conversion et doit être cohérent avec le traitement fiscal que vous clarifiez avec vos conseillers.]</w:t>
      </w:r>
    </w:p>
    <w:p>
      <w:pPr>
        <w:pStyle w:val="Heading1"/>
      </w:pPr>
      <w:r>
        <w:t xml:space="preserve">3. Absence de sûretés; postposition</w:t>
      </w:r>
    </w:p>
    <w:p>
      <w:pPr>
        <w:pStyle w:val="Normal"/>
      </w:pPr>
      <w:r>
        <w:t xml:space="preserve">3.1 Le prêt n’est pas garanti.</w:t>
      </w:r>
    </w:p>
    <w:p>
      <w:pPr>
        <w:pStyle w:val="Normal"/>
      </w:pPr>
      <w:r>
        <w:t xml:space="preserve">[3.2 Postposition optionnelle: En cas de surendettement de la société au sens de l’art. 725b CO, le prêteur postpose le prêt, intérêts courus compris, derrière les créances de tous les autres créanciers de la société, dans la mesure et pour la durée nécessaires à éliminer le surendettement.]</w:t>
      </w:r>
    </w:p>
    <w:p>
      <w:pPr>
        <w:pStyle w:val="Note"/>
      </w:pPr>
      <w:r>
        <w:t xml:space="preserve">[Remarque: La société demandera typiquement cette clause lorsque ses fonds propres sont minces, parce qu’un prêt correctement postposé peut être laissé de côté lorsque le conseil d’administration examine s’il doit aviser le juge selon l’art. 725b CO. Pour le prêteur, elle signifie passer derrière tous les autres créanciers dans le pire scénario. Accordez-la en connaissance de cause ou supprimez la clause.]</w:t>
      </w:r>
    </w:p>
    <w:p>
      <w:pPr>
        <w:pStyle w:val="Heading1"/>
      </w:pPr>
      <w:r>
        <w:t xml:space="preserve">4. Conversion lors d’un financement qualifié</w:t>
      </w:r>
    </w:p>
    <w:p>
      <w:pPr>
        <w:pStyle w:val="Normal"/>
      </w:pPr>
      <w:r>
        <w:t xml:space="preserve">4.1 Un «financement qualifié» est une augmentation de capital ou une série d’augmentations de capital liées par laquelle la société lève de nouveaux fonds propres d’au moins CHF [montant], sans compter la conversion du présent prêt ou d’autres prêts convertibles.</w:t>
      </w:r>
    </w:p>
    <w:p>
      <w:pPr>
        <w:pStyle w:val="Normal"/>
      </w:pPr>
      <w:r>
        <w:t xml:space="preserve">4.2 À l’exécution d’un financement qualifié, le prêt[, intérêts courus compris,] se convertit en actions de la catégorie émise dans le financement qualifié.</w:t>
      </w:r>
    </w:p>
    <w:p>
      <w:pPr>
        <w:pStyle w:val="Normal"/>
      </w:pPr>
      <w:r>
        <w:t xml:space="preserve">4.3 Le prix de conversion par action est le plus bas des deux valeurs suivantes: (a) le prix par action le plus bas payé par les investisseurs du financement qualifié, réduit d’une décote de [pourcentage]%, et (b) le prix par action résultant d’une valorisation pre-money entièrement diluée de la société de CHF [montant] (le «plafond de valorisation»).</w:t>
      </w:r>
    </w:p>
    <w:p>
      <w:pPr>
        <w:pStyle w:val="Note"/>
      </w:pPr>
      <w:r>
        <w:t xml:space="preserve">[Remarque: La décote récompense le prêteur d’avoir pris le risque avant que le tour ne soit valorisé; le plafond de valorisation fixe la valorisation la plus haute à laquelle le prêt se convertit. S’applique celui des deux mécanismes qui donne le prix le plus bas, donc le plus d’actions. Calculez les deux sur le cap table actuel avant de convenir des chiffres.]</w:t>
      </w:r>
    </w:p>
    <w:p>
      <w:pPr>
        <w:pStyle w:val="Heading1"/>
      </w:pPr>
      <w:r>
        <w:t xml:space="preserve">5. Conversion ou remboursement à l’échéance</w:t>
      </w:r>
    </w:p>
    <w:p>
      <w:pPr>
        <w:pStyle w:val="Normal"/>
      </w:pPr>
      <w:r>
        <w:t xml:space="preserve">5.1 Si aucun financement qualifié n’est exécuté à la date d’échéance, ce qui suit s’applique [choisissez une variante et supprimez l’autre]:</w:t>
      </w:r>
    </w:p>
    <w:p>
      <w:pPr>
        <w:pStyle w:val="Normal"/>
      </w:pPr>
      <w:r>
        <w:t xml:space="preserve">[Variante A: Le prêt, intérêts courus compris, se convertit à la demande du prêteur en actions [ordinaires] de la société, à un prix par action fondé sur une valorisation entièrement diluée de la société de CHF [montant].]</w:t>
      </w:r>
    </w:p>
    <w:p>
      <w:pPr>
        <w:pStyle w:val="Normal"/>
      </w:pPr>
      <w:r>
        <w:t xml:space="preserve">[Variante B: La société rembourse le prêt, intérêts courus compris, à la date d’échéance.]</w:t>
      </w:r>
    </w:p>
    <w:p>
      <w:pPr>
        <w:pStyle w:val="Note"/>
      </w:pPr>
      <w:r>
        <w:t xml:space="preserve">[Remarque: Décidez maintenant du scénario d’échéance. Un document muet sur ce point produit un prêt échu, impayé et non converti, où chaque option doit être renégociée au pire moment.]</w:t>
      </w:r>
    </w:p>
    <w:p>
      <w:pPr>
        <w:pStyle w:val="Heading1"/>
      </w:pPr>
      <w:r>
        <w:t xml:space="preserve">6. Changement de contrôle</w:t>
      </w:r>
    </w:p>
    <w:p>
      <w:pPr>
        <w:pStyle w:val="Normal"/>
      </w:pPr>
      <w:r>
        <w:t xml:space="preserve">Si, avant la conversion ou le remboursement, un tiers acquiert directement ou indirectement plus de [pourcentage]% des actions ou des voix de la société, ou si la société vend tout ou l’essentiel de son entreprise (un «changement de contrôle»), le prêteur peut choisir entre (a) le remboursement immédiat du prêt, intérêts courus compris, et (b) la conversion en actions immédiatement avant l’exécution du changement de contrôle, sur la base [du plafond de valorisation / d’une valorisation entièrement diluée de CHF [montant]].</w:t>
      </w:r>
    </w:p>
    <w:p>
      <w:pPr>
        <w:pStyle w:val="Heading1"/>
      </w:pPr>
      <w:r>
        <w:t xml:space="preserve">7. Mécanique de la conversion</w:t>
      </w:r>
    </w:p>
    <w:p>
      <w:pPr>
        <w:pStyle w:val="Normal"/>
      </w:pPr>
      <w:r>
        <w:t xml:space="preserve">7.1 La conversion s’opère par une augmentation de capital de la société selon les art. 652 ss CO: une augmentation ordinaire décidée par l’assemblée générale ou, si les statuts le prévoient, l’émission d’actions à partir d’un capital conditionnel ou d’une marge de fluctuation du capital.</w:t>
      </w:r>
    </w:p>
    <w:p>
      <w:pPr>
        <w:pStyle w:val="Normal"/>
      </w:pPr>
      <w:r>
        <w:t xml:space="preserve">7.2 À la survenance d’un cas de conversion, le prêteur souscrit les actions de conversion, libère le prix d’émission par compensation avec sa créance en remboursement du prêt, intérêts courus compris, et signe tous les documents nécessaires à l’augmentation de capital [y compris une adhésion à la convention d’actionnaires alors en vigueur].</w:t>
      </w:r>
    </w:p>
    <w:p>
      <w:pPr>
        <w:pStyle w:val="Normal"/>
      </w:pPr>
      <w:r>
        <w:t xml:space="preserve">7.3 La société fait en sorte que les décisions sociales nécessaires soient prises. Les actionnaires énumérés à l’annexe 2 s’engagent, en cosignant le présent contrat, à voter les augmentations de capital nécessaires à la conversion et à renoncer à leur droit de souscription préférentiel dans la mesure nécessaire.</w:t>
      </w:r>
    </w:p>
    <w:p>
      <w:pPr>
        <w:pStyle w:val="Note"/>
      </w:pPr>
      <w:r>
        <w:t xml:space="preserve">[Remarque: La société ne peut pas émettre d’actions seule: ce sont les actionnaires qui décident l’augmentation de capital. Sans la cosignature des principaux actionnaires, ou sans capital conditionnel statutaire couvrant déjà le prêt, la promesse de conversion dépend d’un vote futur auquel personne n’est tenu.]</w:t>
      </w:r>
    </w:p>
    <w:p>
      <w:pPr>
        <w:pStyle w:val="Heading1"/>
      </w:pPr>
      <w:r>
        <w:t xml:space="preserve">8. Aucune obligation au-delà de la libération</w:t>
      </w:r>
    </w:p>
    <w:p>
      <w:pPr>
        <w:pStyle w:val="Normal"/>
      </w:pPr>
      <w:r>
        <w:t xml:space="preserve">Avec la conversion, l’obligation du prêteur se limite à libérer le prix d’émission des actions de conversion par compensation. Au-delà du prix d’émission, le prêteur ne doit aucun apport supplémentaire, conformément à l’art. 680 CO. [Les obligations découlant d’une convention d’actionnaires à laquelle le prêteur adhère sont réservées.]</w:t>
      </w:r>
    </w:p>
    <w:p>
      <w:pPr>
        <w:pStyle w:val="Heading1"/>
      </w:pPr>
      <w:r>
        <w:t xml:space="preserve">9. Droits à l’information</w:t>
      </w:r>
    </w:p>
    <w:p>
      <w:pPr>
        <w:pStyle w:val="Normal"/>
      </w:pPr>
      <w:r>
        <w:t xml:space="preserve">Jusqu’à la conversion ou au remboursement, la société remet au prêteur ses comptes annuels dans les [nombre] mois suivant la clôture de chaque exercice [option: et l’informe sans délai des événements affectant sensiblement sa situation financière].</w:t>
      </w:r>
    </w:p>
    <w:p>
      <w:pPr>
        <w:pStyle w:val="Heading1"/>
      </w:pPr>
      <w:r>
        <w:t xml:space="preserve">10. Déclarations de la société</w:t>
      </w:r>
    </w:p>
    <w:p>
      <w:pPr>
        <w:pStyle w:val="Normal"/>
      </w:pPr>
      <w:r>
        <w:t xml:space="preserve">La société déclare qu’elle est valablement constituée et existante selon le droit suisse, que le cap table joint en annexe 1, y compris toutes les options et tous les instruments convertibles en circulation, est complet et exact à la date du présent contrat, et que la conclusion et l’exécution du présent contrat ne contreviennent ni à ses statuts ni à des accords qui la lient.</w:t>
      </w:r>
    </w:p>
    <w:p>
      <w:pPr>
        <w:pStyle w:val="Heading1"/>
      </w:pPr>
      <w:r>
        <w:t xml:space="preserve">11. Transfert</w:t>
      </w:r>
    </w:p>
    <w:p>
      <w:pPr>
        <w:pStyle w:val="Normal"/>
      </w:pPr>
      <w:r>
        <w:t xml:space="preserve">Le prêteur ne peut céder ou mettre en gage le prêt et ses droits découlant du présent contrat qu’avec l’accord écrit préalable de la société. [Option: Les transferts à une société contrôlant le prêteur, contrôlée par lui ou sous contrôle commun avec lui sont permis moyennant avis écrit.]</w:t>
      </w:r>
    </w:p>
    <w:p>
      <w:pPr>
        <w:pStyle w:val="Heading1"/>
      </w:pPr>
      <w:r>
        <w:t xml:space="preserve">12. Dispositions finales</w:t>
      </w:r>
    </w:p>
    <w:p>
      <w:pPr>
        <w:pStyle w:val="Normal"/>
      </w:pPr>
      <w:r>
        <w:t xml:space="preserve">12.1 Toute modification ou complément du présent contrat, y compris de la présente clause, requiert la forme écrite.</w:t>
      </w:r>
    </w:p>
    <w:p>
      <w:pPr>
        <w:pStyle w:val="Normal"/>
      </w:pPr>
      <w:r>
        <w:t xml:space="preserve">12.2 Le présent contrat est soumis au droit suisse. Le for exclusif est au siège de la société.</w:t>
      </w:r>
    </w:p>
    <w:p>
      <w:pPr>
        <w:pStyle w:val="Heading1"/>
      </w:pPr>
      <w:r>
        <w:t xml:space="preserve">Annexes</w:t>
      </w:r>
    </w:p>
    <w:p>
      <w:pPr>
        <w:pStyle w:val="Normal"/>
      </w:pPr>
      <w:r>
        <w:t xml:space="preserve">Annexe 1: Cap table de la société au [date]</w:t>
      </w:r>
    </w:p>
    <w:p>
      <w:pPr>
        <w:pStyle w:val="Normal"/>
      </w:pPr>
      <w:r>
        <w:t xml:space="preserve">Annexe 2: Actionnaires cosignataires</w:t>
      </w:r>
    </w:p>
    <w:p>
      <w:pPr>
        <w:pStyle w:val="Normal"/>
      </w:pPr>
      <w:r>
        <w:t xml:space="preserve">Lieu, date: […]</w:t>
      </w:r>
    </w:p>
    <w:p>
      <w:pPr>
        <w:pStyle w:val="Normal"/>
      </w:pPr>
      <w:r>
        <w:t xml:space="preserve"/>
      </w:r>
    </w:p>
    <w:p>
      <w:pPr>
        <w:pStyle w:val="Normal"/>
      </w:pPr>
      <w:r>
        <w:t xml:space="preserve">La société: ______________________</w:t>
      </w:r>
    </w:p>
    <w:p>
      <w:pPr>
        <w:pStyle w:val="Normal"/>
      </w:pPr>
      <w:r>
        <w:t xml:space="preserve">Le prêteur: ______________________</w:t>
      </w:r>
    </w:p>
    <w:p>
      <w:pPr>
        <w:pStyle w:val="Normal"/>
      </w:pPr>
      <w:r>
        <w:t xml:space="preserve"/>
      </w:r>
    </w:p>
    <w:p>
      <w:pPr>
        <w:pStyle w:val="Normal"/>
      </w:pPr>
      <w:r>
        <w:t xml:space="preserve">Pris connaissance et accepté s’agissant du chiffre 7.3:</w:t>
      </w:r>
    </w:p>
    <w:p>
      <w:pPr>
        <w:pStyle w:val="Normal"/>
      </w:pPr>
      <w:r>
        <w:t xml:space="preserve">[Actionnaire 1]: ______________________</w:t>
      </w:r>
    </w:p>
    <w:p>
      <w:pPr>
        <w:pStyle w:val="Normal"/>
      </w:pPr>
      <w:r>
        <w:t xml:space="preserve">[Actionnaire 2]: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