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w:body>
    <w:p>
      <w:pPr>
        <w:pStyle w:val="Title"/>
      </w:pPr>
      <w:r>
        <w:t xml:space="preserve">Convertible loan agreement</w:t>
      </w:r>
    </w:p>
    <w:p>
      <w:pPr>
        <w:pStyle w:val="Note"/>
      </w:pPr>
      <w:r>
        <w:t xml:space="preserve">[Note: This template is a convertible loan granted by an investor to a Swiss company limited by shares (AG). Complete or delete the text in square brackets and delete every note like this one before signing. Coordinate the conversion clauses with the company’s articles of association and its principal shareholders before signing.]</w:t>
      </w:r>
    </w:p>
    <w:p>
      <w:pPr>
        <w:pStyle w:val="Heading1"/>
      </w:pPr>
      <w:r>
        <w:t xml:space="preserve">Parties</w:t>
      </w:r>
    </w:p>
    <w:p>
      <w:pPr>
        <w:pStyle w:val="Normal"/>
      </w:pPr>
      <w:r>
        <w:t xml:space="preserve">[Company] AG, [address] (the “Company”)</w:t>
      </w:r>
    </w:p>
    <w:p>
      <w:pPr>
        <w:pStyle w:val="Normal"/>
      </w:pPr>
      <w:r>
        <w:t xml:space="preserve">and</w:t>
      </w:r>
    </w:p>
    <w:p>
      <w:pPr>
        <w:pStyle w:val="Normal"/>
      </w:pPr>
      <w:r>
        <w:t xml:space="preserve">[Lender], [address] (the “Lender”)</w:t>
      </w:r>
    </w:p>
    <w:p>
      <w:pPr>
        <w:pStyle w:val="Heading1"/>
      </w:pPr>
      <w:r>
        <w:t xml:space="preserve">1. Loan and disbursement</w:t>
      </w:r>
    </w:p>
    <w:p>
      <w:pPr>
        <w:pStyle w:val="Normal"/>
      </w:pPr>
      <w:r>
        <w:t xml:space="preserve">1.1 The Lender grants the Company a loan of CHF [amount] (the “Loan”). The Company uses the Loan for [purpose, e.g. “working capital and the further development of the business”].</w:t>
      </w:r>
    </w:p>
    <w:p>
      <w:pPr>
        <w:pStyle w:val="Normal"/>
      </w:pPr>
      <w:r>
        <w:t xml:space="preserve">1.2 The Lender pays the Loan to the Company’s account [IBAN] within [number] days of signature of this agreement.</w:t>
      </w:r>
    </w:p>
    <w:p>
      <w:pPr>
        <w:pStyle w:val="Normal"/>
      </w:pPr>
      <w:r>
        <w:t xml:space="preserve">1.3 Unless converted earlier under this agreement, the Loan falls due for repayment on [date] (the “Maturity Date”).</w:t>
      </w:r>
    </w:p>
    <w:p>
      <w:pPr>
        <w:pStyle w:val="Heading1"/>
      </w:pPr>
      <w:r>
        <w:t xml:space="preserve">2. Interest</w:t>
      </w:r>
    </w:p>
    <w:p>
      <w:pPr>
        <w:pStyle w:val="Normal"/>
      </w:pPr>
      <w:r>
        <w:t xml:space="preserve">2.1 The Loan bears interest at [rate]% per year from disbursement. Interest is not paid periodically; it accrues and is added to the amount converted or repaid.</w:t>
      </w:r>
    </w:p>
    <w:p>
      <w:pPr>
        <w:pStyle w:val="Normal"/>
      </w:pPr>
      <w:r>
        <w:t xml:space="preserve">[2.2 Choose one and delete the other: Accrued interest converts into shares together with the principal. / Accrued interest is paid in cash upon conversion or repayment; only the principal converts.]</w:t>
      </w:r>
    </w:p>
    <w:p>
      <w:pPr>
        <w:pStyle w:val="Note"/>
      </w:pPr>
      <w:r>
        <w:t xml:space="preserve">[Note: State expressly whether interest converts or is paid out. The choice changes the number of conversion shares and should be consistent with the tax treatment you clarify with your advisors.]</w:t>
      </w:r>
    </w:p>
    <w:p>
      <w:pPr>
        <w:pStyle w:val="Heading1"/>
      </w:pPr>
      <w:r>
        <w:t xml:space="preserve">3. No security; subordination</w:t>
      </w:r>
    </w:p>
    <w:p>
      <w:pPr>
        <w:pStyle w:val="Normal"/>
      </w:pPr>
      <w:r>
        <w:t xml:space="preserve">3.1 The Loan is unsecured.</w:t>
      </w:r>
    </w:p>
    <w:p>
      <w:pPr>
        <w:pStyle w:val="Normal"/>
      </w:pPr>
      <w:r>
        <w:t xml:space="preserve">[3.2 Optional subordination: In the event of overindebtedness of the Company within the meaning of Art. 725b CO, the Lender subordinates the Loan, including accrued interest, to the claims of all other creditors of the Company, to the extent and for as long as necessary to remove the overindebtedness.]</w:t>
      </w:r>
    </w:p>
    <w:p>
      <w:pPr>
        <w:pStyle w:val="Note"/>
      </w:pPr>
      <w:r>
        <w:t xml:space="preserve">[Note: The Company will typically ask for this clause when its equity is thin, because a properly subordinated loan can be left aside when the board assesses whether it must notify the court under Art. 725b CO. For the Lender it means standing behind every other creditor in the worst case. Grant it deliberately or delete the clause.]</w:t>
      </w:r>
    </w:p>
    <w:p>
      <w:pPr>
        <w:pStyle w:val="Heading1"/>
      </w:pPr>
      <w:r>
        <w:t xml:space="preserve">4. Conversion in a Qualified Financing</w:t>
      </w:r>
    </w:p>
    <w:p>
      <w:pPr>
        <w:pStyle w:val="Normal"/>
      </w:pPr>
      <w:r>
        <w:t xml:space="preserve">4.1 A “Qualified Financing” is a capital increase or a series of related capital increases in which the Company raises new equity of at least CHF [amount], not counting the conversion of this Loan or of other convertible loans.</w:t>
      </w:r>
    </w:p>
    <w:p>
      <w:pPr>
        <w:pStyle w:val="Normal"/>
      </w:pPr>
      <w:r>
        <w:t xml:space="preserve">4.2 Upon completion of a Qualified Financing, the Loan[, including accrued interest,] converts into shares of the class issued in the Qualified Financing.</w:t>
      </w:r>
    </w:p>
    <w:p>
      <w:pPr>
        <w:pStyle w:val="Normal"/>
      </w:pPr>
      <w:r>
        <w:t xml:space="preserve">4.3 The conversion price per share is the lower of (a) the lowest price per share paid by the investors in the Qualified Financing, reduced by a discount of [percentage]%, and (b) the price per share resulting from a fully diluted pre-money valuation of the Company of CHF [amount] (the “Valuation Cap”).</w:t>
      </w:r>
    </w:p>
    <w:p>
      <w:pPr>
        <w:pStyle w:val="Note"/>
      </w:pPr>
      <w:r>
        <w:t xml:space="preserve">[Note: The discount rewards the Lender for taking the risk before the round is priced; the Valuation Cap fixes the highest valuation at which the Loan converts. Whichever of the two produces the lower price, and therefore more shares, applies. Model both against your capitalization table before agreeing to the numbers.]</w:t>
      </w:r>
    </w:p>
    <w:p>
      <w:pPr>
        <w:pStyle w:val="Heading1"/>
      </w:pPr>
      <w:r>
        <w:t xml:space="preserve">5. Conversion or repayment at maturity</w:t>
      </w:r>
    </w:p>
    <w:p>
      <w:pPr>
        <w:pStyle w:val="Normal"/>
      </w:pPr>
      <w:r>
        <w:t xml:space="preserve">5.1 If no Qualified Financing is completed by the Maturity Date, the following applies [choose one option and delete the other]:</w:t>
      </w:r>
    </w:p>
    <w:p>
      <w:pPr>
        <w:pStyle w:val="Note"/>
      </w:pPr>
      <w:r>
        <w:t xml:space="preserve">[Option A: The Loan, including accrued interest, converts at the Lender’s request into [ordinary] shares of the Company at a price per share based on a fully diluted valuation of the Company of CHF [amount].]</w:t>
      </w:r>
    </w:p>
    <w:p>
      <w:pPr>
        <w:pStyle w:val="Note"/>
      </w:pPr>
      <w:r>
        <w:t xml:space="preserve">[Option B: The Company repays the Loan, including accrued interest, on the Maturity Date.]</w:t>
      </w:r>
    </w:p>
    <w:p>
      <w:pPr>
        <w:pStyle w:val="Note"/>
      </w:pPr>
      <w:r>
        <w:t xml:space="preserve">[Note: Decide the maturity outcome now. A document that is silent here produces a loan that is due, unpaid and unconverted, with every option needing a fresh negotiation at the worst possible moment.]</w:t>
      </w:r>
    </w:p>
    <w:p>
      <w:pPr>
        <w:pStyle w:val="Heading1"/>
      </w:pPr>
      <w:r>
        <w:t xml:space="preserve">6. Change of control</w:t>
      </w:r>
    </w:p>
    <w:p>
      <w:pPr>
        <w:pStyle w:val="Normal"/>
      </w:pPr>
      <w:r>
        <w:t xml:space="preserve">If, before conversion or repayment, a third party acquires, directly or indirectly, more than [percentage]% of the shares or votes of the Company, or the Company sells all or substantially all of its business (a “Change of Control”), the Lender may elect either (a) immediate repayment of the Loan, including accrued interest, or (b) conversion into shares immediately before completion of the Change of Control, based on [the Valuation Cap / a fully diluted valuation of CHF [amount]].</w:t>
      </w:r>
    </w:p>
    <w:p>
      <w:pPr>
        <w:pStyle w:val="Heading1"/>
      </w:pPr>
      <w:r>
        <w:t xml:space="preserve">7. Mechanics of conversion</w:t>
      </w:r>
    </w:p>
    <w:p>
      <w:pPr>
        <w:pStyle w:val="Normal"/>
      </w:pPr>
      <w:r>
        <w:t xml:space="preserve">7.1 Conversion is effected through a capital increase of the Company under Art. 652 ff. CO: an ordinary capital increase resolved by the general meeting or, where the articles of association so provide, the issuance of shares from conditional capital or from a capital band.</w:t>
      </w:r>
    </w:p>
    <w:p>
      <w:pPr>
        <w:pStyle w:val="Normal"/>
      </w:pPr>
      <w:r>
        <w:t xml:space="preserve">7.2 Upon occurrence of a conversion event, the Lender subscribes the conversion shares, pays the issue price by set-off against its claim for repayment of the Loan, including accrued interest, and signs all documents required for the capital increase [including an accession to the shareholders’ agreement in force at the time].</w:t>
      </w:r>
    </w:p>
    <w:p>
      <w:pPr>
        <w:pStyle w:val="Normal"/>
      </w:pPr>
      <w:r>
        <w:t xml:space="preserve">7.3 The Company procures that the required corporate resolutions are passed. The shareholders listed in Annex 2 undertake, by co-signing this agreement, to vote in favour of the capital increases required for conversion and to waive their subscription rights to the extent necessary.</w:t>
      </w:r>
    </w:p>
    <w:p>
      <w:pPr>
        <w:pStyle w:val="Note"/>
      </w:pPr>
      <w:r>
        <w:t xml:space="preserve">[Note: The Company cannot issue shares on its own: the shareholders resolve the capital increase. Without the co-signature of the principal shareholders, or conditional capital in the articles that already covers the Loan, the conversion promise depends on a future vote nobody is bound to cast.]</w:t>
      </w:r>
    </w:p>
    <w:p>
      <w:pPr>
        <w:pStyle w:val="Heading1"/>
      </w:pPr>
      <w:r>
        <w:t xml:space="preserve">8. No obligations beyond subscription</w:t>
      </w:r>
    </w:p>
    <w:p>
      <w:pPr>
        <w:pStyle w:val="Normal"/>
      </w:pPr>
      <w:r>
        <w:t xml:space="preserve">Upon conversion, the Lender’s obligation is limited to paying the issue price of the conversion shares by set-off. Beyond the issue price, the Lender owes no further contributions, in accordance with Art. 680 CO. [Obligations under a shareholders’ agreement to which the Lender accedes remain reserved.]</w:t>
      </w:r>
    </w:p>
    <w:p>
      <w:pPr>
        <w:pStyle w:val="Heading1"/>
      </w:pPr>
      <w:r>
        <w:t xml:space="preserve">9. Information rights</w:t>
      </w:r>
    </w:p>
    <w:p>
      <w:pPr>
        <w:pStyle w:val="Normal"/>
      </w:pPr>
      <w:r>
        <w:t xml:space="preserve">Until conversion or repayment, the Company provides the Lender with its annual financial statements within [number] months of the end of each financial year [optional: and informs the Lender without delay of events materially affecting its financial position].</w:t>
      </w:r>
    </w:p>
    <w:p>
      <w:pPr>
        <w:pStyle w:val="Heading1"/>
      </w:pPr>
      <w:r>
        <w:t xml:space="preserve">10. Representations of the Company</w:t>
      </w:r>
    </w:p>
    <w:p>
      <w:pPr>
        <w:pStyle w:val="Normal"/>
      </w:pPr>
      <w:r>
        <w:t xml:space="preserve">The Company represents that it is duly incorporated and validly existing under Swiss law, that the capitalization table attached as Annex 1, including all outstanding options and convertible instruments, is complete and correct as of the date of this agreement, and that the conclusion and performance of this agreement do not conflict with its articles of association or with any agreement binding on it.</w:t>
      </w:r>
    </w:p>
    <w:p>
      <w:pPr>
        <w:pStyle w:val="Heading1"/>
      </w:pPr>
      <w:r>
        <w:t xml:space="preserve">11. Transfer</w:t>
      </w:r>
    </w:p>
    <w:p>
      <w:pPr>
        <w:pStyle w:val="Normal"/>
      </w:pPr>
      <w:r>
        <w:t xml:space="preserve">The Lender may assign or pledge the Loan and its rights under this agreement only with the prior written consent of the Company. [Optional: Transfers to a company controlling the Lender, controlled by it or under common control with it are permitted upon written notice.]</w:t>
      </w:r>
    </w:p>
    <w:p>
      <w:pPr>
        <w:pStyle w:val="Heading1"/>
      </w:pPr>
      <w:r>
        <w:t xml:space="preserve">12. Final provisions</w:t>
      </w:r>
    </w:p>
    <w:p>
      <w:pPr>
        <w:pStyle w:val="Normal"/>
      </w:pPr>
      <w:r>
        <w:t xml:space="preserve">12.1 Amendments and additions to this agreement, including this clause, must be made in writing.</w:t>
      </w:r>
    </w:p>
    <w:p>
      <w:pPr>
        <w:pStyle w:val="Normal"/>
      </w:pPr>
      <w:r>
        <w:t xml:space="preserve">12.2 This agreement is governed by Swiss law. The courts at the seat of the Company have exclusive jurisdiction.</w:t>
      </w:r>
    </w:p>
    <w:p>
      <w:pPr>
        <w:pStyle w:val="Heading1"/>
      </w:pPr>
      <w:r>
        <w:t xml:space="preserve">Annexes</w:t>
      </w:r>
    </w:p>
    <w:p>
      <w:pPr>
        <w:pStyle w:val="Normal"/>
      </w:pPr>
      <w:r>
        <w:t xml:space="preserve">Annex 1: Capitalization table of the Company as of [date]</w:t>
      </w:r>
    </w:p>
    <w:p>
      <w:pPr>
        <w:pStyle w:val="Normal"/>
      </w:pPr>
      <w:r>
        <w:t xml:space="preserve">Annex 2: Co-signing shareholders</w:t>
      </w:r>
    </w:p>
    <w:p>
      <w:pPr>
        <w:pStyle w:val="Normal"/>
      </w:pPr>
      <w:r>
        <w:t xml:space="preserve">Place, date: […]</w:t>
      </w:r>
    </w:p>
    <w:p>
      <w:pPr>
        <w:pStyle w:val="Normal"/>
      </w:pPr>
      <w:r>
        <w:t xml:space="preserve"/>
      </w:r>
    </w:p>
    <w:p>
      <w:pPr>
        <w:pStyle w:val="Normal"/>
      </w:pPr>
      <w:r>
        <w:t xml:space="preserve">The Company: ______________________</w:t>
      </w:r>
    </w:p>
    <w:p>
      <w:pPr>
        <w:pStyle w:val="Normal"/>
      </w:pPr>
      <w:r>
        <w:t xml:space="preserve">The Lender: ______________________</w:t>
      </w:r>
    </w:p>
    <w:p>
      <w:pPr>
        <w:pStyle w:val="Normal"/>
      </w:pPr>
      <w:r>
        <w:t xml:space="preserve"/>
      </w:r>
    </w:p>
    <w:p>
      <w:pPr>
        <w:pStyle w:val="Normal"/>
      </w:pPr>
      <w:r>
        <w:t xml:space="preserve">Acknowledged and agreed as to clause 7.3:</w:t>
      </w:r>
    </w:p>
    <w:p>
      <w:pPr>
        <w:pStyle w:val="Normal"/>
      </w:pPr>
      <w:r>
        <w:t xml:space="preserve">[Shareholder 1]: ______________________</w:t>
      </w:r>
    </w:p>
    <w:p>
      <w:pPr>
        <w:pStyle w:val="Normal"/>
      </w:pPr>
      <w:r>
        <w:t xml:space="preserve">[Shareholder 2]: ______________________</w:t>
      </w:r>
    </w:p>
    <w:sectPr>
      <w:footerReference w:type="default" r:id="rId2"/>
      <w:pgSz w:w="11906" w:h="16838"/>
      <w:pgMar w:top="1701" w:right="1701" w:bottom="1701" w:left="1701"/>
    </w:sectPr>
  </w:body>
</w:document>
</file>

<file path=word/footer1.xml><?xml version="1.0" encoding="utf-8"?>
<w:ftr xmlns:w="http://schemas.openxmlformats.org/wordprocessingml/2006/main">
  <w:p>
    <w:pPr>
      <w:jc w:val="right"/>
      <w:rPr>
        <w:color w:val="888888"/>
        <w:sz w:val="17"/>
      </w:rPr>
    </w:pPr>
    <w:r>
      <w:rPr>
        <w:color w:val="888888"/>
        <w:sz w:val="17"/>
      </w:rPr>
      <w:t xml:space="preserve">Omnilex · omnilex.ai</w:t>
    </w:r>
  </w:p>
</w:ftr>
</file>

<file path=word/styles.xml><?xml version="1.0" encoding="utf-8"?>
<w:styles xmlns:w="http://schemas.openxmlformats.org/wordprocessingml/2006/main">
  <w:docDefaults>
    <w:rPrDefault>
      <w:rPr>
        <w:rFonts w:ascii="Georgia" w:hAnsi="Georgia"/>
        <w:sz w:val="21"/>
      </w:rPr>
    </w:rPrDefault>
    <w:pPrDefault>
      <w:pPr>
        <w:spacing w:after="160" w:line="300" w:lineRule="auto"/>
      </w:pPr>
    </w:pPrDefault>
  </w:docDefaults>
  <w:style w:type="paragraph" w:default="1" w:styleId="Normal">
    <w:name w:val="Normal"/>
  </w:style>
  <w:style w:type="paragraph" w:styleId="Title">
    <w:name w:val="Title"/>
    <w:basedOn w:val="Normal"/>
    <w:pPr>
      <w:spacing w:after="360"/>
    </w:pPr>
    <w:rPr>
      <w:b/>
      <w:sz w:val="34"/>
    </w:rPr>
  </w:style>
  <w:style w:type="paragraph" w:styleId="Heading1">
    <w:name w:val="heading 1"/>
    <w:basedOn w:val="Normal"/>
    <w:pPr>
      <w:keepNext/>
      <w:spacing w:before="320" w:after="160"/>
      <w:outlineLvl w:val="0"/>
    </w:pPr>
    <w:rPr>
      <w:b/>
      <w:sz w:val="23"/>
    </w:rPr>
  </w:style>
  <w:style w:type="paragraph" w:styleId="Note">
    <w:name w:val="Note"/>
    <w:basedOn w:val="Normal"/>
    <w:rPr>
      <w:i/>
      <w:color w:val="66666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footer" Target="footer1.xml"/>
</Relationships>
</file>