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Articles of association of [Company] AG</w:t>
      </w:r>
    </w:p>
    <w:p>
      <w:pPr>
        <w:pStyle w:val="Note"/>
      </w:pPr>
      <w:r>
        <w:t xml:space="preserve">[Note: This template contains lean articles of association for a closely held Swiss company limited by shares (AG). Complete or delete the text in square brackets and delete every note like this one before the document goes to the notary. Articles of association take effect through the public deed, not through private signature.]</w:t>
      </w:r>
    </w:p>
    <w:p>
      <w:pPr>
        <w:pStyle w:val="Heading1"/>
      </w:pPr>
      <w:r>
        <w:t xml:space="preserve">I. Company name, registered office, purpose and duration</w:t>
      </w:r>
    </w:p>
    <w:p>
      <w:pPr>
        <w:pStyle w:val="Heading1"/>
      </w:pPr>
      <w:r>
        <w:t xml:space="preserve">Art. 1 Company name and registered office</w:t>
      </w:r>
    </w:p>
    <w:p>
      <w:pPr>
        <w:pStyle w:val="Normal"/>
      </w:pPr>
      <w:r>
        <w:t xml:space="preserve">Under the company name [Company] AG, a company limited by shares exists pursuant to Art. 620 ff. CO with its registered office in [municipality, canton].</w:t>
      </w:r>
    </w:p>
    <w:p>
      <w:pPr>
        <w:pStyle w:val="Heading1"/>
      </w:pPr>
      <w:r>
        <w:t xml:space="preserve">Art. 2 Purpose</w:t>
      </w:r>
    </w:p>
    <w:p>
      <w:pPr>
        <w:pStyle w:val="Normal"/>
      </w:pPr>
      <w:r>
        <w:t xml:space="preserve">2.1 The purpose of the company is [describe the field of activity, e.g. “the development, distribution and operation of software and the provision of related services”].</w:t>
      </w:r>
    </w:p>
    <w:p>
      <w:pPr>
        <w:pStyle w:val="Normal"/>
      </w:pPr>
      <w:r>
        <w:t xml:space="preserve">2.2 The company may establish branches and subsidiaries, participate in other enterprises, acquire, hold and sell real estate and intellectual property rights, and carry out all transactions apt to promote its purpose.</w:t>
      </w:r>
    </w:p>
    <w:p>
      <w:pPr>
        <w:pStyle w:val="Heading1"/>
      </w:pPr>
      <w:r>
        <w:t xml:space="preserve">Art. 3 Duration</w:t>
      </w:r>
    </w:p>
    <w:p>
      <w:pPr>
        <w:pStyle w:val="Normal"/>
      </w:pPr>
      <w:r>
        <w:t xml:space="preserve">The duration of the company is unlimited.</w:t>
      </w:r>
    </w:p>
    <w:p>
      <w:pPr>
        <w:pStyle w:val="Heading1"/>
      </w:pPr>
      <w:r>
        <w:t xml:space="preserve">II. Share capital and shares</w:t>
      </w:r>
    </w:p>
    <w:p>
      <w:pPr>
        <w:pStyle w:val="Heading1"/>
      </w:pPr>
      <w:r>
        <w:t xml:space="preserve">Art. 4 Share capital</w:t>
      </w:r>
    </w:p>
    <w:p>
      <w:pPr>
        <w:pStyle w:val="Normal"/>
      </w:pPr>
      <w:r>
        <w:t xml:space="preserve">The share capital amounts to CHF [amount] and is divided into [number] registered shares with a nominal value of CHF [amount] each. The share capital is fully paid up.</w:t>
      </w:r>
    </w:p>
    <w:p>
      <w:pPr>
        <w:pStyle w:val="Note"/>
      </w:pPr>
      <w:r>
        <w:t xml:space="preserve">[Note: The law fixes a minimum share capital (Art. 621 CO) and a minimum contribution that must be paid in on incorporation (Art. 632 CO). Check the amount, the number of shares and the paid-up portion against these provisions with your notary before the deed.]</w:t>
      </w:r>
    </w:p>
    <w:p>
      <w:pPr>
        <w:pStyle w:val="Heading1"/>
      </w:pPr>
      <w:r>
        <w:t xml:space="preserve">Art. 5 Form of the shares and share register</w:t>
      </w:r>
    </w:p>
    <w:p>
      <w:pPr>
        <w:pStyle w:val="Normal"/>
      </w:pPr>
      <w:r>
        <w:t xml:space="preserve">5.1 The shares are issued as uncertificated securities. A shareholder has no right to the printing and delivery of share certificates.</w:t>
      </w:r>
    </w:p>
    <w:p>
      <w:pPr>
        <w:pStyle w:val="Normal"/>
      </w:pPr>
      <w:r>
        <w:t xml:space="preserve">5.2 The company keeps a share register in which the owners and usufructuaries of the shares are entered with name and address. In relation to the company, only those entered in the share register are recognised as shareholders or usufructuaries.</w:t>
      </w:r>
    </w:p>
    <w:p>
      <w:pPr>
        <w:pStyle w:val="Heading1"/>
      </w:pPr>
      <w:r>
        <w:t xml:space="preserve">Art. 6 Transfer restriction</w:t>
      </w:r>
    </w:p>
    <w:p>
      <w:pPr>
        <w:pStyle w:val="Note"/>
      </w:pPr>
      <w:r>
        <w:t xml:space="preserve">[Note: This article is optional. Without it, the registered shares are freely transferable. For a closely held company it is usually the most important optional article; delete it only deliberately.]</w:t>
      </w:r>
    </w:p>
    <w:p>
      <w:pPr>
        <w:pStyle w:val="Normal"/>
      </w:pPr>
      <w:r>
        <w:t xml:space="preserve">6.1 The transfer of registered shares, whether by assignment or otherwise, requires the approval of the board of directors.</w:t>
      </w:r>
    </w:p>
    <w:p>
      <w:pPr>
        <w:pStyle w:val="Normal"/>
      </w:pPr>
      <w:r>
        <w:t xml:space="preserve">6.2 The board of directors may refuse approval for good cause. Good cause is in particular [ground linked to the company’s purpose or economic independence, e.g. “the preservation of a circle of shareholders active in the company”]. The board may also refuse approval by offering to the transferor to acquire the shares for the account of the company, of other shareholders or of third parties at their real value at the time of the request.</w:t>
      </w:r>
    </w:p>
    <w:p>
      <w:pPr>
        <w:pStyle w:val="Heading1"/>
      </w:pPr>
      <w:r>
        <w:t xml:space="preserve">III. General meeting</w:t>
      </w:r>
    </w:p>
    <w:p>
      <w:pPr>
        <w:pStyle w:val="Heading1"/>
      </w:pPr>
      <w:r>
        <w:t xml:space="preserve">Art. 7 Powers</w:t>
      </w:r>
    </w:p>
    <w:p>
      <w:pPr>
        <w:pStyle w:val="Normal"/>
      </w:pPr>
      <w:r>
        <w:t xml:space="preserve">The general meeting is the supreme body of the company. It has the inalienable powers assigned to it by Art. 698 CO, in particular the adoption and amendment of the articles of association, the election of the board of directors and of the auditor, the approval of the annual accounts, the resolution on the allocation of the disposable profit, and the discharge of the members of the board of directors.</w:t>
      </w:r>
    </w:p>
    <w:p>
      <w:pPr>
        <w:pStyle w:val="Heading1"/>
      </w:pPr>
      <w:r>
        <w:t xml:space="preserve">Art. 8 Convocation</w:t>
      </w:r>
    </w:p>
    <w:p>
      <w:pPr>
        <w:pStyle w:val="Normal"/>
      </w:pPr>
      <w:r>
        <w:t xml:space="preserve">8.1 The general meeting is convened by the board of directors, where necessary by the auditor, no later than [20] days before the day of the meeting. The convocation is made in writing or electronically to the addresses entered in the share register and states the agenda items and the motions.</w:t>
      </w:r>
    </w:p>
    <w:p>
      <w:pPr>
        <w:pStyle w:val="Normal"/>
      </w:pPr>
      <w:r>
        <w:t xml:space="preserve">8.2 The owners or representatives of all shares may, if no objection is raised, hold a general meeting without observing the rules on convocation (universal meeting).</w:t>
      </w:r>
    </w:p>
    <w:p>
      <w:pPr>
        <w:pStyle w:val="Normal"/>
      </w:pPr>
      <w:r>
        <w:t xml:space="preserve">8.3 Resolutions of the general meeting may also be passed in writing or electronically, unless a shareholder requests oral deliberation.</w:t>
      </w:r>
    </w:p>
    <w:p>
      <w:pPr>
        <w:pStyle w:val="Heading1"/>
      </w:pPr>
      <w:r>
        <w:t xml:space="preserve">Art. 9 Chair and minutes</w:t>
      </w:r>
    </w:p>
    <w:p>
      <w:pPr>
        <w:pStyle w:val="Normal"/>
      </w:pPr>
      <w:r>
        <w:t xml:space="preserve">The chair of the board of directors chairs the general meeting; if the chair is prevented, another member of the board of directors or a chair of the day elected by the general meeting presides. The person chairing designates the keeper of the minutes. Minutes are kept of the proceedings.</w:t>
      </w:r>
    </w:p>
    <w:p>
      <w:pPr>
        <w:pStyle w:val="Heading1"/>
      </w:pPr>
      <w:r>
        <w:t xml:space="preserve">Art. 10 Voting rights and resolutions</w:t>
      </w:r>
    </w:p>
    <w:p>
      <w:pPr>
        <w:pStyle w:val="Normal"/>
      </w:pPr>
      <w:r>
        <w:t xml:space="preserve">10.1 Each share confers one vote. A shareholder may be represented at the general meeting by a person authorised in writing.</w:t>
      </w:r>
    </w:p>
    <w:p>
      <w:pPr>
        <w:pStyle w:val="Normal"/>
      </w:pPr>
      <w:r>
        <w:t xml:space="preserve">10.2 The general meeting passes its resolutions and carries out its elections with a majority of the votes cast, unless the law or these articles of association provide otherwise. The resolutions listed in Art. 704 CO require the qualified majority provided for there.</w:t>
      </w:r>
    </w:p>
    <w:p>
      <w:pPr>
        <w:pStyle w:val="Heading1"/>
      </w:pPr>
      <w:r>
        <w:t xml:space="preserve">IV. Board of directors</w:t>
      </w:r>
    </w:p>
    <w:p>
      <w:pPr>
        <w:pStyle w:val="Heading1"/>
      </w:pPr>
      <w:r>
        <w:t xml:space="preserve">Art. 11 Election and term of office</w:t>
      </w:r>
    </w:p>
    <w:p>
      <w:pPr>
        <w:pStyle w:val="Normal"/>
      </w:pPr>
      <w:r>
        <w:t xml:space="preserve">The board of directors consists of one or more members. The members are elected by the general meeting for a term of office of [one] year; re-election is possible.</w:t>
      </w:r>
    </w:p>
    <w:p>
      <w:pPr>
        <w:pStyle w:val="Heading1"/>
      </w:pPr>
      <w:r>
        <w:t xml:space="preserve">Art. 12 Organisation</w:t>
      </w:r>
    </w:p>
    <w:p>
      <w:pPr>
        <w:pStyle w:val="Normal"/>
      </w:pPr>
      <w:r>
        <w:t xml:space="preserve">12.1 The board of directors constitutes itself. It designates its chair and the keeper of its minutes, who need not be a member.</w:t>
      </w:r>
    </w:p>
    <w:p>
      <w:pPr>
        <w:pStyle w:val="Normal"/>
      </w:pPr>
      <w:r>
        <w:t xml:space="preserve">12.2 It may set out its organisation and the management of the business in organisational regulations.</w:t>
      </w:r>
    </w:p>
    <w:p>
      <w:pPr>
        <w:pStyle w:val="Normal"/>
      </w:pPr>
      <w:r>
        <w:t xml:space="preserve">12.3 Resolutions of the board of directors may also be passed in writing or electronically, unless a member requests oral deliberation.</w:t>
      </w:r>
    </w:p>
    <w:p>
      <w:pPr>
        <w:pStyle w:val="Heading1"/>
      </w:pPr>
      <w:r>
        <w:t xml:space="preserve">Art. 13 Duties</w:t>
      </w:r>
    </w:p>
    <w:p>
      <w:pPr>
        <w:pStyle w:val="Normal"/>
      </w:pPr>
      <w:r>
        <w:t xml:space="preserve">The board of directors has the overall management of the company and the non-transferable and inalienable duties assigned to it by Art. 716a CO. In all other respects, it may delegate the management of the business in whole or in part to individual members or to third parties in accordance with organisational regulations.</w:t>
      </w:r>
    </w:p>
    <w:p>
      <w:pPr>
        <w:pStyle w:val="Heading1"/>
      </w:pPr>
      <w:r>
        <w:t xml:space="preserve">Art. 14 Representation</w:t>
      </w:r>
    </w:p>
    <w:p>
      <w:pPr>
        <w:pStyle w:val="Normal"/>
      </w:pPr>
      <w:r>
        <w:t xml:space="preserve">The board of directors designates the persons authorised to represent the company and determines the manner of their signature. [Standard: The members of the board of directors sign collectively by two. / Alternative: The members of the board of directors have individual signing authority.]</w:t>
      </w:r>
    </w:p>
    <w:p>
      <w:pPr>
        <w:pStyle w:val="Heading1"/>
      </w:pPr>
      <w:r>
        <w:t xml:space="preserve">V. Auditor</w:t>
      </w:r>
    </w:p>
    <w:p>
      <w:pPr>
        <w:pStyle w:val="Heading1"/>
      </w:pPr>
      <w:r>
        <w:t xml:space="preserve">Art. 15 Auditor</w:t>
      </w:r>
    </w:p>
    <w:p>
      <w:pPr>
        <w:pStyle w:val="Normal"/>
      </w:pPr>
      <w:r>
        <w:t xml:space="preserve">15.1 The general meeting elects an auditor for a term of office of [one] year.</w:t>
      </w:r>
    </w:p>
    <w:p>
      <w:pPr>
        <w:pStyle w:val="Normal"/>
      </w:pPr>
      <w:r>
        <w:t xml:space="preserve">15.2 The auditor examines the annual accounts in accordance with the statutory provisions and reports to the general meeting.</w:t>
      </w:r>
    </w:p>
    <w:p>
      <w:pPr>
        <w:pStyle w:val="Note"/>
      </w:pPr>
      <w:r>
        <w:t xml:space="preserve">[Note: Companies without a public dimension that stay below the size thresholds of Art. 727 CO undergo a limited audit; under the conditions of Art. 727a CO (consent of all shareholders and a small workforce), they can waive the limited audit entirely (opting out). If the company opts out, record it with the commercial register and adapt or delete this article.]</w:t>
      </w:r>
    </w:p>
    <w:p>
      <w:pPr>
        <w:pStyle w:val="Heading1"/>
      </w:pPr>
      <w:r>
        <w:t xml:space="preserve">VI. Financial year and allocation of profit</w:t>
      </w:r>
    </w:p>
    <w:p>
      <w:pPr>
        <w:pStyle w:val="Heading1"/>
      </w:pPr>
      <w:r>
        <w:t xml:space="preserve">Art. 16 Financial year</w:t>
      </w:r>
    </w:p>
    <w:p>
      <w:pPr>
        <w:pStyle w:val="Normal"/>
      </w:pPr>
      <w:r>
        <w:t xml:space="preserve">The financial year is determined by the board of directors. [Standard: It ends on 31 December of each year.]</w:t>
      </w:r>
    </w:p>
    <w:p>
      <w:pPr>
        <w:pStyle w:val="Heading1"/>
      </w:pPr>
      <w:r>
        <w:t xml:space="preserve">Art. 17 Allocation of profit</w:t>
      </w:r>
    </w:p>
    <w:p>
      <w:pPr>
        <w:pStyle w:val="Normal"/>
      </w:pPr>
      <w:r>
        <w:t xml:space="preserve">The general meeting resolves on the allocation of the disposable profit within the limits of the statutory provisions on reserves.</w:t>
      </w:r>
    </w:p>
    <w:p>
      <w:pPr>
        <w:pStyle w:val="Heading1"/>
      </w:pPr>
      <w:r>
        <w:t xml:space="preserve">VII. Communications, publication organ and dissolution</w:t>
      </w:r>
    </w:p>
    <w:p>
      <w:pPr>
        <w:pStyle w:val="Heading1"/>
      </w:pPr>
      <w:r>
        <w:t xml:space="preserve">Art. 18 Communications and publication organ</w:t>
      </w:r>
    </w:p>
    <w:p>
      <w:pPr>
        <w:pStyle w:val="Normal"/>
      </w:pPr>
      <w:r>
        <w:t xml:space="preserve">18.1 The publication organ of the company is the Swiss Official Gazette of Commerce (SOGC).</w:t>
      </w:r>
    </w:p>
    <w:p>
      <w:pPr>
        <w:pStyle w:val="Normal"/>
      </w:pPr>
      <w:r>
        <w:t xml:space="preserve">18.2 Communications of the company to the shareholders are made in writing or electronically to the addresses entered in the share register.</w:t>
      </w:r>
    </w:p>
    <w:p>
      <w:pPr>
        <w:pStyle w:val="Heading1"/>
      </w:pPr>
      <w:r>
        <w:t xml:space="preserve">Art. 19 Dissolution and liquidation</w:t>
      </w:r>
    </w:p>
    <w:p>
      <w:pPr>
        <w:pStyle w:val="Normal"/>
      </w:pPr>
      <w:r>
        <w:t xml:space="preserve">The general meeting may resolve the dissolution of the company in accordance with the law and these articles of association. The liquidation is carried out by the board of directors in accordance with the statutory provisions, unless the general meeting entrusts it to other persons.</w:t>
      </w:r>
    </w:p>
    <w:p>
      <w:pPr>
        <w:pStyle w:val="Note"/>
      </w:pPr>
      <w:r>
        <w:t xml:space="preserve">[Note: Articles of association take effect through the public deed of incorporation, and every later amendment again requires a public deed. Take this draft to the notary; the filing with the commercial register follows the notarial deed.]</w:t>
      </w:r>
    </w:p>
    <w:p>
      <w:pPr>
        <w:pStyle w:val="Normal"/>
      </w:pPr>
      <w:r>
        <w:t xml:space="preserve">Place, date: […]</w:t>
      </w:r>
    </w:p>
    <w:p>
      <w:pPr>
        <w:pStyle w:val="Normal"/>
      </w:pPr>
      <w:r>
        <w:t xml:space="preserve"/>
      </w:r>
    </w:p>
    <w:p>
      <w:pPr>
        <w:pStyle w:val="Normal"/>
      </w:pPr>
      <w:r>
        <w:t xml:space="preserve">[Founder / chair of the general meeting]: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