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Statuten der [Firma] AG</w:t>
      </w:r>
    </w:p>
    <w:p>
      <w:pPr>
        <w:pStyle w:val="Note"/>
      </w:pPr>
      <w:r>
        <w:t xml:space="preserve">[Hinweis: Diese Vorlage enthält schlanke Statuten für eine Schweizer Aktiengesellschaft mit kleinem Aktionärskreis. Ergänzen oder streichen Sie den Text in eckigen Klammern und löschen Sie alle Hinweise wie diesen, bevor das Dokument zur Notarin oder zum Notar geht. Statuten entstehen durch die öffentliche Beurkundung, nicht durch private Unterzeichnung.]</w:t>
      </w:r>
    </w:p>
    <w:p>
      <w:pPr>
        <w:pStyle w:val="Heading1"/>
      </w:pPr>
      <w:r>
        <w:t xml:space="preserve">I. Firma, Sitz, Zweck und Dauer</w:t>
      </w:r>
    </w:p>
    <w:p>
      <w:pPr>
        <w:pStyle w:val="Heading1"/>
      </w:pPr>
      <w:r>
        <w:t xml:space="preserve">Art. 1 Firma und Sitz</w:t>
      </w:r>
    </w:p>
    <w:p>
      <w:pPr>
        <w:pStyle w:val="Normal"/>
      </w:pPr>
      <w:r>
        <w:t xml:space="preserve">Unter der Firma [Firma] AG besteht eine Aktiengesellschaft gemäss Art. 620 ff. OR mit Sitz in [Gemeinde, Kanton].</w:t>
      </w:r>
    </w:p>
    <w:p>
      <w:pPr>
        <w:pStyle w:val="Heading1"/>
      </w:pPr>
      <w:r>
        <w:t xml:space="preserve">Art. 2 Zweck</w:t>
      </w:r>
    </w:p>
    <w:p>
      <w:pPr>
        <w:pStyle w:val="Normal"/>
      </w:pPr>
      <w:r>
        <w:t xml:space="preserve">2.1 Zweck der Gesellschaft ist [Tätigkeitsfeld beschreiben, z. B. «die Entwicklung, der Vertrieb und der Betrieb von Software sowie die Erbringung damit verbundener Dienstleistungen»].</w:t>
      </w:r>
    </w:p>
    <w:p>
      <w:pPr>
        <w:pStyle w:val="Normal"/>
      </w:pPr>
      <w:r>
        <w:t xml:space="preserve">2.2 Die Gesellschaft kann Zweigniederlassungen und Tochtergesellschaften errichten, sich an anderen Unternehmen beteiligen, Grundstücke und Immaterialgüterrechte erwerben, halten und veräussern sowie alle Geschäfte tätigen, die geeignet sind, den Zweck zu fördern.</w:t>
      </w:r>
    </w:p>
    <w:p>
      <w:pPr>
        <w:pStyle w:val="Heading1"/>
      </w:pPr>
      <w:r>
        <w:t xml:space="preserve">Art. 3 Dauer</w:t>
      </w:r>
    </w:p>
    <w:p>
      <w:pPr>
        <w:pStyle w:val="Normal"/>
      </w:pPr>
      <w:r>
        <w:t xml:space="preserve">Die Dauer der Gesellschaft ist unbeschränkt.</w:t>
      </w:r>
    </w:p>
    <w:p>
      <w:pPr>
        <w:pStyle w:val="Heading1"/>
      </w:pPr>
      <w:r>
        <w:t xml:space="preserve">II. Aktienkapital und Aktien</w:t>
      </w:r>
    </w:p>
    <w:p>
      <w:pPr>
        <w:pStyle w:val="Heading1"/>
      </w:pPr>
      <w:r>
        <w:t xml:space="preserve">Art. 4 Aktienkapital</w:t>
      </w:r>
    </w:p>
    <w:p>
      <w:pPr>
        <w:pStyle w:val="Normal"/>
      </w:pPr>
      <w:r>
        <w:t xml:space="preserve">Das Aktienkapital beträgt CHF [Betrag] und ist eingeteilt in [Anzahl] Namenaktien mit einem Nennwert von je CHF [Betrag]. Das Aktienkapital ist vollständig liberiert.</w:t>
      </w:r>
    </w:p>
    <w:p>
      <w:pPr>
        <w:pStyle w:val="Note"/>
      </w:pPr>
      <w:r>
        <w:t xml:space="preserve">[Hinweis: Das Gesetz legt ein Mindestkapital (Art. 621 OR) und eine Mindesteinlage bei der Gründung (Art. 632 OR) fest. Prüfen Sie Betrag, Stückelung und Liberierung vor der Beurkundung mit Ihrer Notarin oder Ihrem Notar anhand dieser Bestimmungen.]</w:t>
      </w:r>
    </w:p>
    <w:p>
      <w:pPr>
        <w:pStyle w:val="Heading1"/>
      </w:pPr>
      <w:r>
        <w:t xml:space="preserve">Art. 5 Form der Aktien und Aktienbuch</w:t>
      </w:r>
    </w:p>
    <w:p>
      <w:pPr>
        <w:pStyle w:val="Normal"/>
      </w:pPr>
      <w:r>
        <w:t xml:space="preserve">5.1 Die Aktien werden als Wertrechte ausgegeben. Ein Anspruch auf Druck und Auslieferung von Aktientiteln besteht nicht.</w:t>
      </w:r>
    </w:p>
    <w:p>
      <w:pPr>
        <w:pStyle w:val="Normal"/>
      </w:pPr>
      <w:r>
        <w:t xml:space="preserve">5.2 Die Gesellschaft führt ein Aktienbuch, in das die Eigentümer und Nutzniesser der Aktien mit Namen und Adresse eingetragen werden. Im Verhältnis zur Gesellschaft gilt als Aktionär oder Nutzniesser nur, wer im Aktienbuch eingetragen ist.</w:t>
      </w:r>
    </w:p>
    <w:p>
      <w:pPr>
        <w:pStyle w:val="Heading1"/>
      </w:pPr>
      <w:r>
        <w:t xml:space="preserve">Art. 6 Vinkulierung</w:t>
      </w:r>
    </w:p>
    <w:p>
      <w:pPr>
        <w:pStyle w:val="Note"/>
      </w:pPr>
      <w:r>
        <w:t xml:space="preserve">[Hinweis: Dieser Artikel ist optional. Ohne ihn sind die Namenaktien frei übertragbar. Für eine Gesellschaft mit kleinem Aktionärskreis ist er meist der wichtigste optionale Artikel; streichen Sie ihn nur bewusst.]</w:t>
      </w:r>
    </w:p>
    <w:p>
      <w:pPr>
        <w:pStyle w:val="Normal"/>
      </w:pPr>
      <w:r>
        <w:t xml:space="preserve">6.1 Die Übertragung von Namenaktien, sei es durch Abtretung oder auf andere Weise, bedarf der Zustimmung des Verwaltungsrats.</w:t>
      </w:r>
    </w:p>
    <w:p>
      <w:pPr>
        <w:pStyle w:val="Normal"/>
      </w:pPr>
      <w:r>
        <w:t xml:space="preserve">6.2 Der Verwaltungsrat kann die Zustimmung aus wichtigem Grund verweigern. Als wichtiger Grund gilt insbesondere [Grund mit Bezug zum Gesellschaftszweck oder zur wirtschaftlichen Selbständigkeit, z. B. «die Erhaltung eines Kreises von in der Gesellschaft tätigen Aktionären»]. Der Verwaltungsrat kann die Zustimmung auch verweigern, indem er dem Veräusserer anbietet, die Aktien für Rechnung der Gesellschaft, anderer Aktionäre oder Dritter zum wirklichen Wert im Zeitpunkt des Gesuchs zu übernehmen.</w:t>
      </w:r>
    </w:p>
    <w:p>
      <w:pPr>
        <w:pStyle w:val="Heading1"/>
      </w:pPr>
      <w:r>
        <w:t xml:space="preserve">III. Generalversammlung</w:t>
      </w:r>
    </w:p>
    <w:p>
      <w:pPr>
        <w:pStyle w:val="Heading1"/>
      </w:pPr>
      <w:r>
        <w:t xml:space="preserve">Art. 7 Befugnisse</w:t>
      </w:r>
    </w:p>
    <w:p>
      <w:pPr>
        <w:pStyle w:val="Normal"/>
      </w:pPr>
      <w:r>
        <w:t xml:space="preserve">Oberstes Organ der Gesellschaft ist die Generalversammlung. Ihr stehen die unübertragbaren Befugnisse nach Art. 698 OR zu, insbesondere die Festsetzung und Änderung der Statuten, die Wahl des Verwaltungsrats und der Revisionsstelle, die Genehmigung der Jahresrechnung, die Beschlussfassung über die Verwendung des Bilanzgewinns sowie die Entlastung der Mitglieder des Verwaltungsrats.</w:t>
      </w:r>
    </w:p>
    <w:p>
      <w:pPr>
        <w:pStyle w:val="Heading1"/>
      </w:pPr>
      <w:r>
        <w:t xml:space="preserve">Art. 8 Einberufung</w:t>
      </w:r>
    </w:p>
    <w:p>
      <w:pPr>
        <w:pStyle w:val="Normal"/>
      </w:pPr>
      <w:r>
        <w:t xml:space="preserve">8.1 Die Generalversammlung wird vom Verwaltungsrat, nötigenfalls von der Revisionsstelle, spätestens [20] Tage vor dem Versammlungstag einberufen. Die Einberufung erfolgt schriftlich oder in elektronischer Form an die im Aktienbuch eingetragenen Adressen und nennt die Verhandlungsgegenstände und die Anträge.</w:t>
      </w:r>
    </w:p>
    <w:p>
      <w:pPr>
        <w:pStyle w:val="Normal"/>
      </w:pPr>
      <w:r>
        <w:t xml:space="preserve">8.2 Die Eigentümer oder Vertreter sämtlicher Aktien können, sofern kein Widerspruch erhoben wird, eine Generalversammlung ohne Einhaltung der Einberufungsvorschriften abhalten (Universalversammlung).</w:t>
      </w:r>
    </w:p>
    <w:p>
      <w:pPr>
        <w:pStyle w:val="Normal"/>
      </w:pPr>
      <w:r>
        <w:t xml:space="preserve">8.3 Beschlüsse der Generalversammlung können auch schriftlich oder in elektronischer Form gefasst werden, sofern nicht ein Aktionär die mündliche Beratung verlangt.</w:t>
      </w:r>
    </w:p>
    <w:p>
      <w:pPr>
        <w:pStyle w:val="Heading1"/>
      </w:pPr>
      <w:r>
        <w:t xml:space="preserve">Art. 9 Vorsitz und Protokoll</w:t>
      </w:r>
    </w:p>
    <w:p>
      <w:pPr>
        <w:pStyle w:val="Normal"/>
      </w:pPr>
      <w:r>
        <w:t xml:space="preserve">Die Präsidentin oder der Präsident des Verwaltungsrats führt den Vorsitz in der Generalversammlung; bei Verhinderung ein anderes Mitglied des Verwaltungsrats oder eine von der Generalversammlung gewählte Tagespräsidentin oder ein gewählter Tagespräsident. Die vorsitzende Person bezeichnet die Protokollführung. Über die Verhandlungen wird ein Protokoll geführt.</w:t>
      </w:r>
    </w:p>
    <w:p>
      <w:pPr>
        <w:pStyle w:val="Heading1"/>
      </w:pPr>
      <w:r>
        <w:t xml:space="preserve">Art. 10 Stimmrecht und Beschlussfassung</w:t>
      </w:r>
    </w:p>
    <w:p>
      <w:pPr>
        <w:pStyle w:val="Normal"/>
      </w:pPr>
      <w:r>
        <w:t xml:space="preserve">10.1 Jede Aktie berechtigt zu einer Stimme. Aktionäre können sich an der Generalversammlung durch eine schriftlich bevollmächtigte Person vertreten lassen.</w:t>
      </w:r>
    </w:p>
    <w:p>
      <w:pPr>
        <w:pStyle w:val="Normal"/>
      </w:pPr>
      <w:r>
        <w:t xml:space="preserve">10.2 Die Generalversammlung fasst ihre Beschlüsse und vollzieht ihre Wahlen mit der Mehrheit der abgegebenen Stimmen, soweit nicht das Gesetz oder diese Statuten etwas anderes vorsehen. Die in Art. 704 OR aufgeführten Beschlüsse bedürfen der dort vorgesehenen qualifizierten Mehrheit.</w:t>
      </w:r>
    </w:p>
    <w:p>
      <w:pPr>
        <w:pStyle w:val="Heading1"/>
      </w:pPr>
      <w:r>
        <w:t xml:space="preserve">IV. Verwaltungsrat</w:t>
      </w:r>
    </w:p>
    <w:p>
      <w:pPr>
        <w:pStyle w:val="Heading1"/>
      </w:pPr>
      <w:r>
        <w:t xml:space="preserve">Art. 11 Wahl und Amtsdauer</w:t>
      </w:r>
    </w:p>
    <w:p>
      <w:pPr>
        <w:pStyle w:val="Normal"/>
      </w:pPr>
      <w:r>
        <w:t xml:space="preserve">Der Verwaltungsrat besteht aus einem oder mehreren Mitgliedern. Die Mitglieder werden von der Generalversammlung für eine Amtsdauer von [einem] Jahr gewählt; Wiederwahl ist möglich.</w:t>
      </w:r>
    </w:p>
    <w:p>
      <w:pPr>
        <w:pStyle w:val="Heading1"/>
      </w:pPr>
      <w:r>
        <w:t xml:space="preserve">Art. 12 Organisation</w:t>
      </w:r>
    </w:p>
    <w:p>
      <w:pPr>
        <w:pStyle w:val="Normal"/>
      </w:pPr>
      <w:r>
        <w:t xml:space="preserve">12.1 Der Verwaltungsrat konstituiert sich selbst. Er bezeichnet seine Präsidentin oder seinen Präsidenten sowie die Protokollführung, die dem Verwaltungsrat nicht angehören muss.</w:t>
      </w:r>
    </w:p>
    <w:p>
      <w:pPr>
        <w:pStyle w:val="Normal"/>
      </w:pPr>
      <w:r>
        <w:t xml:space="preserve">12.2 Er kann seine Organisation und die Geschäftsführung in einem Organisationsreglement ordnen.</w:t>
      </w:r>
    </w:p>
    <w:p>
      <w:pPr>
        <w:pStyle w:val="Normal"/>
      </w:pPr>
      <w:r>
        <w:t xml:space="preserve">12.3 Beschlüsse des Verwaltungsrats können auch schriftlich oder in elektronischer Form gefasst werden, sofern nicht ein Mitglied die mündliche Beratung verlangt.</w:t>
      </w:r>
    </w:p>
    <w:p>
      <w:pPr>
        <w:pStyle w:val="Heading1"/>
      </w:pPr>
      <w:r>
        <w:t xml:space="preserve">Art. 13 Aufgaben</w:t>
      </w:r>
    </w:p>
    <w:p>
      <w:pPr>
        <w:pStyle w:val="Normal"/>
      </w:pPr>
      <w:r>
        <w:t xml:space="preserve">Dem Verwaltungsrat obliegt die Oberleitung der Gesellschaft; er hat die unübertragbaren und unentziehbaren Aufgaben nach Art. 716a OR. Im Übrigen kann er die Geschäftsführung nach Massgabe eines Organisationsreglements ganz oder teilweise an einzelne Mitglieder oder an Dritte übertragen.</w:t>
      </w:r>
    </w:p>
    <w:p>
      <w:pPr>
        <w:pStyle w:val="Heading1"/>
      </w:pPr>
      <w:r>
        <w:t xml:space="preserve">Art. 14 Vertretung</w:t>
      </w:r>
    </w:p>
    <w:p>
      <w:pPr>
        <w:pStyle w:val="Normal"/>
      </w:pPr>
      <w:r>
        <w:t xml:space="preserve">Der Verwaltungsrat bezeichnet die zur Vertretung der Gesellschaft befugten Personen und bestimmt die Art ihrer Zeichnung. [Standard: Die Mitglieder des Verwaltungsrats zeichnen kollektiv zu zweien. / Alternative: Die Mitglieder des Verwaltungsrats zeichnen einzeln.]</w:t>
      </w:r>
    </w:p>
    <w:p>
      <w:pPr>
        <w:pStyle w:val="Heading1"/>
      </w:pPr>
      <w:r>
        <w:t xml:space="preserve">V. Revisionsstelle</w:t>
      </w:r>
    </w:p>
    <w:p>
      <w:pPr>
        <w:pStyle w:val="Heading1"/>
      </w:pPr>
      <w:r>
        <w:t xml:space="preserve">Art. 15 Revisionsstelle</w:t>
      </w:r>
    </w:p>
    <w:p>
      <w:pPr>
        <w:pStyle w:val="Normal"/>
      </w:pPr>
      <w:r>
        <w:t xml:space="preserve">15.1 Die Generalversammlung wählt eine Revisionsstelle für eine Amtsdauer von [einem] Jahr.</w:t>
      </w:r>
    </w:p>
    <w:p>
      <w:pPr>
        <w:pStyle w:val="Normal"/>
      </w:pPr>
      <w:r>
        <w:t xml:space="preserve">15.2 Die Revisionsstelle prüft die Jahresrechnung nach den gesetzlichen Vorschriften und erstattet der Generalversammlung Bericht.</w:t>
      </w:r>
    </w:p>
    <w:p>
      <w:pPr>
        <w:pStyle w:val="Note"/>
      </w:pPr>
      <w:r>
        <w:t xml:space="preserve">[Hinweis: Gesellschaften ohne Publikumsbezug, die unter den Grössenschwellen von Art. 727 OR bleiben, unterliegen der eingeschränkten Revision; unter den Voraussetzungen von Art. 727a OR (Zustimmung sämtlicher Aktionäre und geringer Personalbestand) können sie ganz auf die eingeschränkte Revision verzichten (Opting-out). Verzichtet die Gesellschaft, melden Sie dies dem Handelsregister und passen Sie diesen Artikel an oder streichen Sie ihn.]</w:t>
      </w:r>
    </w:p>
    <w:p>
      <w:pPr>
        <w:pStyle w:val="Heading1"/>
      </w:pPr>
      <w:r>
        <w:t xml:space="preserve">VI. Geschäftsjahr und Gewinnverwendung</w:t>
      </w:r>
    </w:p>
    <w:p>
      <w:pPr>
        <w:pStyle w:val="Heading1"/>
      </w:pPr>
      <w:r>
        <w:t xml:space="preserve">Art. 16 Geschäftsjahr</w:t>
      </w:r>
    </w:p>
    <w:p>
      <w:pPr>
        <w:pStyle w:val="Normal"/>
      </w:pPr>
      <w:r>
        <w:t xml:space="preserve">Das Geschäftsjahr wird vom Verwaltungsrat festgelegt. [Standard: Es endet jeweils am 31. Dezember.]</w:t>
      </w:r>
    </w:p>
    <w:p>
      <w:pPr>
        <w:pStyle w:val="Heading1"/>
      </w:pPr>
      <w:r>
        <w:t xml:space="preserve">Art. 17 Gewinnverwendung</w:t>
      </w:r>
    </w:p>
    <w:p>
      <w:pPr>
        <w:pStyle w:val="Normal"/>
      </w:pPr>
      <w:r>
        <w:t xml:space="preserve">Über die Verwendung des Bilanzgewinns beschliesst die Generalversammlung im Rahmen der gesetzlichen Vorschriften über die Reserven.</w:t>
      </w:r>
    </w:p>
    <w:p>
      <w:pPr>
        <w:pStyle w:val="Heading1"/>
      </w:pPr>
      <w:r>
        <w:t xml:space="preserve">VII. Mitteilungen, Publikationsorgan und Auflösung</w:t>
      </w:r>
    </w:p>
    <w:p>
      <w:pPr>
        <w:pStyle w:val="Heading1"/>
      </w:pPr>
      <w:r>
        <w:t xml:space="preserve">Art. 18 Mitteilungen und Publikationsorgan</w:t>
      </w:r>
    </w:p>
    <w:p>
      <w:pPr>
        <w:pStyle w:val="Normal"/>
      </w:pPr>
      <w:r>
        <w:t xml:space="preserve">18.1 Publikationsorgan der Gesellschaft ist das Schweizerische Handelsamtsblatt (SHAB).</w:t>
      </w:r>
    </w:p>
    <w:p>
      <w:pPr>
        <w:pStyle w:val="Normal"/>
      </w:pPr>
      <w:r>
        <w:t xml:space="preserve">18.2 Mitteilungen der Gesellschaft an die Aktionäre erfolgen schriftlich oder in elektronischer Form an die im Aktienbuch eingetragenen Adressen.</w:t>
      </w:r>
    </w:p>
    <w:p>
      <w:pPr>
        <w:pStyle w:val="Heading1"/>
      </w:pPr>
      <w:r>
        <w:t xml:space="preserve">Art. 19 Auflösung und Liquidation</w:t>
      </w:r>
    </w:p>
    <w:p>
      <w:pPr>
        <w:pStyle w:val="Normal"/>
      </w:pPr>
      <w:r>
        <w:t xml:space="preserve">Die Generalversammlung kann die Auflösung der Gesellschaft nach Massgabe von Gesetz und Statuten beschliessen. Die Liquidation wird nach den gesetzlichen Vorschriften durch den Verwaltungsrat durchgeführt, sofern die Generalversammlung sie nicht anderen Personen überträgt.</w:t>
      </w:r>
    </w:p>
    <w:p>
      <w:pPr>
        <w:pStyle w:val="Note"/>
      </w:pPr>
      <w:r>
        <w:t xml:space="preserve">[Hinweis: Statuten entstehen durch die öffentliche Beurkundung der Gründung, und jede spätere Änderung bedarf erneut der öffentlichen Beurkundung. Nehmen Sie diesen Entwurf zur Notarin oder zum Notar; die Anmeldung beim Handelsregister folgt auf die Beurkundung.]</w:t>
      </w:r>
    </w:p>
    <w:p>
      <w:pPr>
        <w:pStyle w:val="Normal"/>
      </w:pPr>
      <w:r>
        <w:t xml:space="preserve">Ort, Datum: […]</w:t>
      </w:r>
    </w:p>
    <w:p>
      <w:pPr>
        <w:pStyle w:val="Normal"/>
      </w:pPr>
      <w:r>
        <w:t xml:space="preserve"/>
      </w:r>
    </w:p>
    <w:p>
      <w:pPr>
        <w:pStyle w:val="Normal"/>
      </w:pPr>
      <w:r>
        <w:t xml:space="preserve">[Gründer/in bzw. Vorsitz der Generalversammlung]: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